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3C32B" w14:textId="77777777" w:rsidR="00DC144D" w:rsidRDefault="00DC144D" w:rsidP="00936C25">
      <w:pPr>
        <w:tabs>
          <w:tab w:val="left" w:pos="567"/>
          <w:tab w:val="left" w:pos="993"/>
        </w:tabs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FC12C35" w14:textId="77777777" w:rsidR="00936C25" w:rsidRDefault="00936C25" w:rsidP="00936C25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MS Mincho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МУНИЦИПАЛЬНОЕ  БЮДЖЕТНОЕ ОБЩЕОБРАЗОВАТЕЛЬНОЕ УЧРЕЖДЕНИЕ</w:t>
      </w:r>
    </w:p>
    <w:p w14:paraId="10C9E67E" w14:textId="77777777" w:rsidR="00936C25" w:rsidRDefault="00936C25" w:rsidP="00936C25">
      <w:pPr>
        <w:spacing w:after="0" w:line="240" w:lineRule="auto"/>
        <w:contextualSpacing/>
        <w:jc w:val="center"/>
        <w:rPr>
          <w:rFonts w:ascii="Times New Roman" w:eastAsia="MS Mincho" w:hAnsi="Times New Roman"/>
          <w:b/>
          <w:bCs/>
          <w:sz w:val="24"/>
          <w:szCs w:val="24"/>
          <w:lang w:val="ru-RU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ru-RU"/>
        </w:rPr>
        <w:t>«НАЧАЛЬНАЯ ОБЩЕОБРАЗОВАТЕЛЬНАЯ ШКОЛА СЕЛА НОВЫЙ-ШАРОЙ»</w:t>
      </w:r>
    </w:p>
    <w:p w14:paraId="2C9C1F34" w14:textId="77777777" w:rsidR="00936C25" w:rsidRDefault="00936C25" w:rsidP="00936C25">
      <w:pPr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14:paraId="7C65E6E7" w14:textId="77777777" w:rsidR="00936C25" w:rsidRDefault="00936C25" w:rsidP="00936C25">
      <w:pPr>
        <w:spacing w:after="0" w:line="360" w:lineRule="auto"/>
        <w:ind w:right="-285"/>
        <w:contextualSpacing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ПРИНЯТО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УТВЕРЖДАЮ</w:t>
      </w:r>
    </w:p>
    <w:p w14:paraId="6C582407" w14:textId="77777777" w:rsidR="00936C25" w:rsidRDefault="00936C25" w:rsidP="00936C25">
      <w:pPr>
        <w:spacing w:after="0" w:line="360" w:lineRule="auto"/>
        <w:ind w:right="-2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педагогическим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советом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директор МБОУ «НОШ с. Новый-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Шарой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14:paraId="0C6B00FB" w14:textId="77777777" w:rsidR="00936C25" w:rsidRDefault="00936C25" w:rsidP="00936C25">
      <w:pPr>
        <w:spacing w:after="0" w:line="360" w:lineRule="auto"/>
        <w:ind w:right="-284"/>
        <w:contextualSpacing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протокол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№__ от «__»________ 2021г.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______________/</w:t>
      </w:r>
      <w:r>
        <w:rPr>
          <w:rFonts w:ascii="Times New Roman" w:hAnsi="Times New Roman"/>
          <w:sz w:val="24"/>
          <w:szCs w:val="24"/>
          <w:u w:val="single"/>
          <w:lang w:val="ru-RU"/>
        </w:rPr>
        <w:t>Басаева П.Д.</w:t>
      </w:r>
      <w:r>
        <w:rPr>
          <w:rFonts w:ascii="Times New Roman" w:hAnsi="Times New Roman"/>
          <w:sz w:val="24"/>
          <w:szCs w:val="24"/>
          <w:lang w:val="ru-RU"/>
        </w:rPr>
        <w:t>/</w:t>
      </w:r>
    </w:p>
    <w:p w14:paraId="001147F9" w14:textId="77777777" w:rsidR="00936C25" w:rsidRDefault="00936C25" w:rsidP="00936C25">
      <w:pPr>
        <w:spacing w:after="0" w:line="360" w:lineRule="auto"/>
        <w:ind w:right="-285" w:firstLine="709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(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           (Ф.И.О.)</w:t>
      </w:r>
    </w:p>
    <w:p w14:paraId="3202C412" w14:textId="77777777" w:rsidR="00936C25" w:rsidRDefault="00936C25" w:rsidP="00936C25">
      <w:pPr>
        <w:keepNext/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Приказ №___ от «___» __________ 2021г.   </w:t>
      </w: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D36F66E" w14:textId="77777777" w:rsidR="00936C25" w:rsidRDefault="00936C25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C1DE722" w14:textId="77777777" w:rsidR="00936C25" w:rsidRDefault="00936C25" w:rsidP="00936C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bookmarkStart w:id="0" w:name="_GoBack"/>
      <w:r w:rsidRPr="00936C25">
        <w:rPr>
          <w:rFonts w:ascii="Times New Roman" w:hAnsi="Times New Roman"/>
          <w:b/>
          <w:color w:val="000000"/>
          <w:szCs w:val="28"/>
          <w:lang w:val="ru-RU" w:eastAsia="ru-RU"/>
        </w:rPr>
        <w:t>ПОЛОЖЕНИЕ</w:t>
      </w:r>
      <w:r w:rsidRPr="00FE0F1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14:paraId="31041389" w14:textId="6238D565" w:rsidR="00936C25" w:rsidRPr="00F300DA" w:rsidRDefault="00936C25" w:rsidP="00936C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b/>
          <w:sz w:val="28"/>
          <w:szCs w:val="28"/>
          <w:lang w:val="ru-RU" w:eastAsia="ru-RU"/>
        </w:rPr>
        <w:t>о</w:t>
      </w:r>
      <w:proofErr w:type="gramEnd"/>
      <w:r w:rsidRPr="00FE0F1A">
        <w:rPr>
          <w:rFonts w:ascii="Times New Roman" w:hAnsi="Times New Roman"/>
          <w:b/>
          <w:sz w:val="28"/>
          <w:szCs w:val="28"/>
          <w:lang w:val="ru-RU" w:eastAsia="ru-RU"/>
        </w:rPr>
        <w:t xml:space="preserve"> порядке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FE0F1A">
        <w:rPr>
          <w:rFonts w:ascii="Times New Roman" w:hAnsi="Times New Roman"/>
          <w:b/>
          <w:sz w:val="28"/>
          <w:szCs w:val="28"/>
          <w:lang w:val="ru-RU" w:eastAsia="ru-RU"/>
        </w:rPr>
        <w:t>осуществляющих образовательную деятельность</w:t>
      </w:r>
    </w:p>
    <w:bookmarkEnd w:id="0"/>
    <w:p w14:paraId="62739627" w14:textId="77777777" w:rsidR="00936C25" w:rsidRDefault="00936C25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54174C2E" w:rsidR="00941FFF" w:rsidRDefault="00941FFF" w:rsidP="00C64607">
      <w:pPr>
        <w:pStyle w:val="a3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b/>
          <w:bCs/>
          <w:color w:val="26282F"/>
          <w:szCs w:val="28"/>
        </w:rPr>
      </w:pPr>
      <w:r w:rsidRPr="00C64607">
        <w:rPr>
          <w:b/>
          <w:bCs/>
          <w:color w:val="26282F"/>
          <w:szCs w:val="28"/>
        </w:rPr>
        <w:t>Общие положения</w:t>
      </w:r>
    </w:p>
    <w:p w14:paraId="50DD8A33" w14:textId="77777777" w:rsidR="00C64607" w:rsidRPr="00C64607" w:rsidRDefault="00C64607" w:rsidP="00C6460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555" w:firstLine="0"/>
        <w:rPr>
          <w:b/>
          <w:bCs/>
          <w:color w:val="26282F"/>
          <w:szCs w:val="28"/>
        </w:rPr>
      </w:pPr>
    </w:p>
    <w:p w14:paraId="5CF933D3" w14:textId="6440112A" w:rsidR="00FE0F1A" w:rsidRPr="00FE0F1A" w:rsidRDefault="00FE0F1A" w:rsidP="00FE0F1A">
      <w:pPr>
        <w:numPr>
          <w:ilvl w:val="1"/>
          <w:numId w:val="26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Настоящее Положени</w:t>
      </w:r>
      <w:r w:rsidR="00936C25">
        <w:rPr>
          <w:rFonts w:ascii="Times New Roman" w:eastAsia="Tahoma" w:hAnsi="Times New Roman"/>
          <w:bCs/>
          <w:sz w:val="28"/>
          <w:szCs w:val="28"/>
          <w:lang w:val="ru-RU" w:eastAsia="ru-RU"/>
        </w:rPr>
        <w:t>е о порядке зачета МБОУ «Н</w:t>
      </w:r>
      <w:r w:rsidR="000306BB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ОШ </w:t>
      </w:r>
      <w:proofErr w:type="spellStart"/>
      <w:r w:rsidR="00D27786">
        <w:rPr>
          <w:rFonts w:ascii="Times New Roman" w:eastAsia="Tahoma" w:hAnsi="Times New Roman"/>
          <w:bCs/>
          <w:sz w:val="28"/>
          <w:szCs w:val="28"/>
          <w:lang w:val="ru-RU" w:eastAsia="ru-RU"/>
        </w:rPr>
        <w:t>с.Новый-Шарой</w:t>
      </w:r>
      <w:proofErr w:type="spell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» (далее – школа) результатов освоения обучающимися учебных предметов курсов, дисциплин (модулей), практики, дополнительных образовательных программ в других организациях, осуществляющих образовательную деятельность (далее – Порядок) разработано на основании Федерального закона № 273-ФЗ от 29 декабря 2012 года «Об образовании в Российской Федерации», Приказа </w:t>
      </w:r>
      <w:proofErr w:type="spell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Минобрнауки</w:t>
      </w:r>
      <w:proofErr w:type="spell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№ 845, </w:t>
      </w:r>
      <w:proofErr w:type="spell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№ 369 от 30 июля 2020 года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</w:t>
      </w:r>
      <w:r w:rsidRPr="00FE0F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дисциплин (модулей), практики, дополнительных образовательных программ в других организациях, осуществляющих образовательную деятельность»,  а также  в соответствии с:</w:t>
      </w:r>
    </w:p>
    <w:p w14:paraId="5F45FDC4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-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ab/>
        <w:t xml:space="preserve">приказом </w:t>
      </w:r>
      <w:proofErr w:type="spell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1B25396C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-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ab/>
        <w:t xml:space="preserve">приказом </w:t>
      </w:r>
      <w:proofErr w:type="spell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13247467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- Уставом школы.</w:t>
      </w:r>
    </w:p>
    <w:p w14:paraId="78923D26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1.2. Настоящий локальный акт регламентирует порядок зачета школой 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деятельность.</w:t>
      </w:r>
    </w:p>
    <w:p w14:paraId="1D40E1AE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1.3. Данное Положение устанавливает перечень и содержимое документов, предоставляемые обучающимся или родителями (законными представителями) несовершеннолетнего обучающегося в школу для получения зачета.</w:t>
      </w:r>
    </w:p>
    <w:p w14:paraId="5D1E81E3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1.4. В соответствии с пунктом 7 части 1 статьи 34 Федерального закона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lastRenderedPageBreak/>
        <w:t>№273-ФЗ «Об образовании в Российской Федерации» обучающийся имеет право на зачет в организации, осуществляющей образовательную деятельность, в установленном ею порядке, результатов освоения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деятельность.</w:t>
      </w:r>
    </w:p>
    <w:p w14:paraId="7669CBB6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1.5. Под зачетом в настоящем Порядке понимается перенос в документы об освоении обучающимися образовательной программы учебных предметов, курсов, дисциплин (модулей), практики и дополнительных образовательных программ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</w:t>
      </w:r>
    </w:p>
    <w:p w14:paraId="53B8F4AF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1.6. В соответствии с данным Порядком решение о зачёте освобождает обучающегося от необходимости повторного изучения соответствующей дисциплины в школе.</w:t>
      </w:r>
    </w:p>
    <w:p w14:paraId="1C285067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/>
          <w:b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/>
          <w:sz w:val="28"/>
          <w:szCs w:val="28"/>
          <w:lang w:val="ru-RU" w:eastAsia="ru-RU"/>
        </w:rPr>
        <w:t>2. Процедура зачёта результатов освоения обучающимися учебных дисциплин, курсов, модулей, дополнительных образовательных программ и практики</w:t>
      </w:r>
    </w:p>
    <w:p w14:paraId="51A14314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/>
          <w:b/>
          <w:sz w:val="28"/>
          <w:szCs w:val="28"/>
          <w:lang w:val="ru-RU" w:eastAsia="ru-RU"/>
        </w:rPr>
      </w:pPr>
    </w:p>
    <w:p w14:paraId="329730EE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2.1. Зачет результатов освоения учебных предметов, междисциплинарных курсов, дисциплин (модулей) в образовательной организации может проводиться для обучающихся:</w:t>
      </w:r>
    </w:p>
    <w:p w14:paraId="6D3CEC0E" w14:textId="77777777" w:rsidR="00FE0F1A" w:rsidRPr="00FE0F1A" w:rsidRDefault="00FE0F1A" w:rsidP="00FE0F1A">
      <w:pPr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переведенных</w:t>
      </w:r>
      <w:proofErr w:type="gramEnd"/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 xml:space="preserve"> для продолжения обучения из иных образовательных организаций;</w:t>
      </w:r>
    </w:p>
    <w:p w14:paraId="5538CDDF" w14:textId="77777777" w:rsidR="00FE0F1A" w:rsidRPr="00FE0F1A" w:rsidRDefault="00FE0F1A" w:rsidP="00FE0F1A">
      <w:pPr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по</w:t>
      </w:r>
      <w:proofErr w:type="gramEnd"/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 xml:space="preserve"> индивидуальному учебному плану;</w:t>
      </w:r>
    </w:p>
    <w:p w14:paraId="7F3EB65B" w14:textId="77777777" w:rsidR="00FE0F1A" w:rsidRPr="00FE0F1A" w:rsidRDefault="00FE0F1A" w:rsidP="00FE0F1A">
      <w:pPr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по</w:t>
      </w:r>
      <w:proofErr w:type="gramEnd"/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 xml:space="preserve"> программам, реализуемым в сетевой форме.</w:t>
      </w:r>
    </w:p>
    <w:p w14:paraId="23E6B2CD" w14:textId="210CED4A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2.2. Обучающимся могут быть зачтены результаты освоен</w:t>
      </w:r>
      <w:r w:rsidR="00936C25">
        <w:rPr>
          <w:rFonts w:ascii="Times New Roman" w:hAnsi="Times New Roman"/>
          <w:sz w:val="28"/>
          <w:szCs w:val="28"/>
          <w:lang w:val="ru-RU" w:eastAsia="ru-RU"/>
        </w:rPr>
        <w:t>ия учебных предметов по основной образовательной программе</w:t>
      </w:r>
      <w:r w:rsidRPr="00FE0F1A">
        <w:rPr>
          <w:rFonts w:ascii="Times New Roman" w:hAnsi="Times New Roman"/>
          <w:sz w:val="28"/>
          <w:szCs w:val="28"/>
          <w:lang w:val="ru-RU" w:eastAsia="ru-RU"/>
        </w:rPr>
        <w:t>:</w:t>
      </w:r>
    </w:p>
    <w:p w14:paraId="6466321F" w14:textId="77777777" w:rsidR="00FE0F1A" w:rsidRPr="00FE0F1A" w:rsidRDefault="00FE0F1A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начального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общего образования;</w:t>
      </w:r>
    </w:p>
    <w:p w14:paraId="60B04D96" w14:textId="19BB3547" w:rsidR="00FE0F1A" w:rsidRPr="00FE0F1A" w:rsidRDefault="00936C25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по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дополнительной образовательной программе</w:t>
      </w:r>
      <w:r w:rsidR="00FE0F1A" w:rsidRPr="00FE0F1A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669D51D3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2.3. Подлежат зачету дисциплины учебного плана при совпадении наименования дисциплины, а также, если объем часов, отведённый на изучение данного предмета, составлял не менее 90% от объёма часов по учебному плану.</w:t>
      </w:r>
    </w:p>
    <w:p w14:paraId="3C58FFCB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2.4. Школа сравнивает полученные результаты с результатами своей программы.</w:t>
      </w:r>
    </w:p>
    <w:p w14:paraId="3D59D70D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2.5.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осваивает, и результатов пройденного обучения, определенных освоенной ранее обучающимся образовательной программой.</w:t>
      </w:r>
    </w:p>
    <w:p w14:paraId="3A9BF26D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2.6. Зачету не подлежат результаты итоговой (государственной итоговой) аттестации.</w:t>
      </w:r>
    </w:p>
    <w:p w14:paraId="0BB01E3C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2.7. Школа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</w:t>
      </w:r>
      <w:r w:rsidRPr="00FE0F1A">
        <w:rPr>
          <w:rFonts w:ascii="Times New Roman" w:hAnsi="Times New Roman"/>
          <w:sz w:val="28"/>
          <w:szCs w:val="28"/>
          <w:lang w:val="ru-RU" w:eastAsia="ru-RU"/>
        </w:rPr>
        <w:lastRenderedPageBreak/>
        <w:t>части осваиваемой образовательной программы (далее - установление соответствия).</w:t>
      </w:r>
    </w:p>
    <w:p w14:paraId="7E84A714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2.8. С целью установления соответствия школа может проводить оценивание фактического достижения обучающимся планируемых результатов части осваиваемой образовательной программы.</w:t>
      </w:r>
    </w:p>
    <w:p w14:paraId="420AAED0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2.9.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14:paraId="2EE147D7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2.10. Решение о зачете учебной дисциплины оформляется приказом директора школы.</w:t>
      </w:r>
    </w:p>
    <w:p w14:paraId="138DDAA0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2.11. Обучающийся, которому произведен зачет, переводится на обучение по индивидуальному учебному плану, в том числе на ускоренное обучение.</w:t>
      </w:r>
    </w:p>
    <w:p w14:paraId="4408E598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2.12.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14:paraId="245CDE46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2.13. В случае несовпадения наименования дисциплины и (или) при недостаточном объёме часов (более 10%) решение о зачёте дисциплины принимается с учётом мнения Педагогического совета школы.</w:t>
      </w:r>
    </w:p>
    <w:p w14:paraId="19C7E60B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2.14. Педагогический совет школы может принять решение о прохождении обучающимся промежуточной аттестации по дисциплине. Промежуточная аттестация проводится учителем, преподающим данную дисциплину.</w:t>
      </w:r>
    </w:p>
    <w:p w14:paraId="24D0F9D5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2.15. Зачёт дисциплины проводится не позднее одного месяца до начала государственной итоговой аттестации.</w:t>
      </w:r>
    </w:p>
    <w:p w14:paraId="000D1EF3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2.16. Получение зачета не освобождает обучающегося от прохождения итоговой аттестации в школе</w:t>
      </w:r>
      <w:r w:rsidRPr="00FE0F1A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1268F718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2.17.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14:paraId="5FDC0AA4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2.18. Не допускается взимание платы с обучающихся за установление соответствия и зачет.</w:t>
      </w:r>
    </w:p>
    <w:p w14:paraId="1791228C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2.19. Школа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14:paraId="35E70484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2.20. Освоение обучающимся дисциплин, курсов в сторонней образовательной организации не дает ему права пропуска обязательных учебных занятий в соответствии с утвержденным расписанием.</w:t>
      </w:r>
    </w:p>
    <w:p w14:paraId="7AA50382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2.21.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14:paraId="27847DFA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2.22. Результаты зачета фиксируются в личном деле обучающегося школы.</w:t>
      </w:r>
    </w:p>
    <w:p w14:paraId="20E19B17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 xml:space="preserve">2.23. Принятие решения о зачете в случае совместного ведения </w:t>
      </w: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lastRenderedPageBreak/>
        <w:t>образовательной деятельности в рамках сетевой формы образовательных программ проводится в соответствии с договором между взаимодействующими образовательными организациями.</w:t>
      </w:r>
    </w:p>
    <w:p w14:paraId="0A078ED6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2.24. Дисциплины, освоенные обучающимися в другой организации, осуществляющей образовательную деятельность, но не предусмотренные учебным планом школы, могут быть зачтены обучающемуся по его письменному заявлению или заявлению родителей (законных представителей).</w:t>
      </w:r>
    </w:p>
    <w:p w14:paraId="5EFF542C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</w:p>
    <w:p w14:paraId="044D112D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/>
          <w:b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/>
          <w:bCs/>
          <w:sz w:val="28"/>
          <w:szCs w:val="28"/>
          <w:lang w:val="ru-RU" w:eastAsia="ru-RU"/>
        </w:rPr>
        <w:t>3. Документы</w:t>
      </w:r>
    </w:p>
    <w:p w14:paraId="1B98A21F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3.1. Для получения зачета обучающийся или родители (законные представители) несовершеннолетнего обучающегося представляют в школу следующие документы:</w:t>
      </w:r>
    </w:p>
    <w:p w14:paraId="499050A2" w14:textId="77777777" w:rsidR="00FE0F1A" w:rsidRPr="00FE0F1A" w:rsidRDefault="00FE0F1A" w:rsidP="00FE0F1A">
      <w:pPr>
        <w:widowControl w:val="0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заявление</w:t>
      </w:r>
      <w:proofErr w:type="gram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о зачете дисциплины;</w:t>
      </w:r>
    </w:p>
    <w:p w14:paraId="40723ABB" w14:textId="77777777" w:rsidR="00FE0F1A" w:rsidRPr="00FE0F1A" w:rsidRDefault="00FE0F1A" w:rsidP="00FE0F1A">
      <w:pPr>
        <w:widowControl w:val="0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документ</w:t>
      </w:r>
      <w:proofErr w:type="gram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об образовании и (или) о квалификации, в том числе об образовании и (или) о квалификации, полученных в иностранном государстве;</w:t>
      </w:r>
    </w:p>
    <w:p w14:paraId="7943F6A4" w14:textId="77777777" w:rsidR="00FE0F1A" w:rsidRPr="00FE0F1A" w:rsidRDefault="00FE0F1A" w:rsidP="00FE0F1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документ</w:t>
      </w:r>
      <w:proofErr w:type="gram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документа);</w:t>
      </w:r>
    </w:p>
    <w:p w14:paraId="3F59E232" w14:textId="77777777" w:rsidR="00FE0F1A" w:rsidRPr="00FE0F1A" w:rsidRDefault="00FE0F1A" w:rsidP="00FE0F1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копию</w:t>
      </w:r>
      <w:proofErr w:type="gram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лицензии на осуществление образовательной деятельности организации, осуществляющей образовательную деятельность, в которой ранее обучался школьник.</w:t>
      </w:r>
    </w:p>
    <w:p w14:paraId="7647724D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</w:p>
    <w:p w14:paraId="2DF8E185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3.2. </w:t>
      </w:r>
      <w:r w:rsidRPr="00FE0F1A">
        <w:rPr>
          <w:rFonts w:ascii="Times New Roman" w:hAnsi="Times New Roman"/>
          <w:sz w:val="28"/>
          <w:szCs w:val="28"/>
          <w:u w:val="single"/>
          <w:lang w:val="ru-RU" w:eastAsia="ru-RU"/>
        </w:rPr>
        <w:t>В заявлении о зачете дисциплины указывается:</w:t>
      </w:r>
    </w:p>
    <w:p w14:paraId="3FF0745F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Ф.И.О. заявителя (Ф.И.О. обучающегося в заявлении законного представителя);</w:t>
      </w:r>
    </w:p>
    <w:p w14:paraId="06AD3E2D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название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предмета (предметов), по которым проводится зачет результатов освоения учебных предметов;</w:t>
      </w:r>
    </w:p>
    <w:p w14:paraId="3F36F9C6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класс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(классы), год (годы) изучения;</w:t>
      </w:r>
    </w:p>
    <w:p w14:paraId="3B18E7F6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полное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наименование и юридический адрес сторонней образовательной организации;</w:t>
      </w:r>
    </w:p>
    <w:p w14:paraId="4587A9B3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объем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учебных часов, предусмотренных для изучения предмета (предметов) в учебном плане сторонней образовательной организации;</w:t>
      </w:r>
    </w:p>
    <w:p w14:paraId="00860FFF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форма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(формы) итогового или промежуточного контроля знаний в соответствии с учебным планом сторонней образовательной организации;</w:t>
      </w:r>
    </w:p>
    <w:p w14:paraId="3220668E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отметка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(отметки) обучающегося по результатам итогового или промежуточного контроля;</w:t>
      </w:r>
    </w:p>
    <w:p w14:paraId="200B22EA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дата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и подпись.</w:t>
      </w:r>
    </w:p>
    <w:p w14:paraId="66473B5E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3.3. </w:t>
      </w:r>
      <w:r w:rsidRPr="00FE0F1A">
        <w:rPr>
          <w:rFonts w:ascii="Times New Roman" w:hAnsi="Times New Roman"/>
          <w:sz w:val="28"/>
          <w:szCs w:val="28"/>
          <w:u w:val="single"/>
          <w:lang w:val="ru-RU" w:eastAsia="ru-RU"/>
        </w:rPr>
        <w:t>К заявлению прилагается заверенная подписью директора и печатью сторонней образовательной организации справка, содержащая следующую информацию:</w:t>
      </w:r>
    </w:p>
    <w:p w14:paraId="55BD6ADD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название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предмета (предметов);</w:t>
      </w:r>
    </w:p>
    <w:p w14:paraId="5EB97D0B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класс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(классы), год (годы) изучения;</w:t>
      </w:r>
    </w:p>
    <w:p w14:paraId="0CFF0A42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объем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учебных часов, предусмотренных для изучения предмета (предметов) в учебном плане сторонней образовательной организации;</w:t>
      </w:r>
    </w:p>
    <w:p w14:paraId="2F3931BC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t>форма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(формы) промежуточной аттестации обучающегося в соответствии с учебным планом сторонней образовательной организации;</w:t>
      </w:r>
    </w:p>
    <w:p w14:paraId="4035D622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FE0F1A">
        <w:rPr>
          <w:rFonts w:ascii="Times New Roman" w:hAnsi="Times New Roman"/>
          <w:sz w:val="28"/>
          <w:szCs w:val="28"/>
          <w:lang w:val="ru-RU" w:eastAsia="ru-RU"/>
        </w:rPr>
        <w:lastRenderedPageBreak/>
        <w:t>отметка</w:t>
      </w:r>
      <w:proofErr w:type="gramEnd"/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(отметки) по результатам промежуточной аттестации.</w:t>
      </w:r>
    </w:p>
    <w:p w14:paraId="6E15B5FA" w14:textId="67FE1E79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FFFFFF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3.4. При подаче заявления родитель (законный представитель) обучающегося предъявляет документ, подтверждающий его статус.</w:t>
      </w:r>
    </w:p>
    <w:sectPr w:rsidR="00FE0F1A" w:rsidRPr="00FE0F1A" w:rsidSect="00936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70C11" w14:textId="77777777" w:rsidR="000E1724" w:rsidRDefault="000E1724" w:rsidP="000122A8">
      <w:pPr>
        <w:spacing w:after="0" w:line="240" w:lineRule="auto"/>
      </w:pPr>
      <w:r>
        <w:separator/>
      </w:r>
    </w:p>
  </w:endnote>
  <w:endnote w:type="continuationSeparator" w:id="0">
    <w:p w14:paraId="6A3F4574" w14:textId="77777777" w:rsidR="000E1724" w:rsidRDefault="000E1724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D27786" w:rsidRPr="00D27786">
      <w:rPr>
        <w:rFonts w:ascii="Times New Roman" w:hAnsi="Times New Roman"/>
        <w:noProof/>
        <w:sz w:val="28"/>
        <w:szCs w:val="28"/>
        <w:lang w:val="ru-RU"/>
      </w:rPr>
      <w:t>5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683B8" w14:textId="77777777" w:rsidR="000E1724" w:rsidRDefault="000E1724" w:rsidP="000122A8">
      <w:pPr>
        <w:spacing w:after="0" w:line="240" w:lineRule="auto"/>
      </w:pPr>
      <w:r>
        <w:separator/>
      </w:r>
    </w:p>
  </w:footnote>
  <w:footnote w:type="continuationSeparator" w:id="0">
    <w:p w14:paraId="2507CB49" w14:textId="77777777" w:rsidR="000E1724" w:rsidRDefault="000E1724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D41EF"/>
    <w:multiLevelType w:val="hybridMultilevel"/>
    <w:tmpl w:val="523C2728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5189E"/>
    <w:multiLevelType w:val="multilevel"/>
    <w:tmpl w:val="2B92F8F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4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F73DB"/>
    <w:multiLevelType w:val="hybridMultilevel"/>
    <w:tmpl w:val="F4BA4AD2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058D6"/>
    <w:multiLevelType w:val="hybridMultilevel"/>
    <w:tmpl w:val="A8008ADC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79F291F"/>
    <w:multiLevelType w:val="hybridMultilevel"/>
    <w:tmpl w:val="857427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54DE6"/>
    <w:multiLevelType w:val="hybridMultilevel"/>
    <w:tmpl w:val="5EB47E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4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25"/>
  </w:num>
  <w:num w:numId="5">
    <w:abstractNumId w:val="7"/>
  </w:num>
  <w:num w:numId="6">
    <w:abstractNumId w:val="19"/>
  </w:num>
  <w:num w:numId="7">
    <w:abstractNumId w:val="24"/>
  </w:num>
  <w:num w:numId="8">
    <w:abstractNumId w:val="5"/>
  </w:num>
  <w:num w:numId="9">
    <w:abstractNumId w:val="9"/>
  </w:num>
  <w:num w:numId="10">
    <w:abstractNumId w:val="6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  <w:num w:numId="15">
    <w:abstractNumId w:val="8"/>
  </w:num>
  <w:num w:numId="16">
    <w:abstractNumId w:val="14"/>
  </w:num>
  <w:num w:numId="17">
    <w:abstractNumId w:val="23"/>
  </w:num>
  <w:num w:numId="18">
    <w:abstractNumId w:val="13"/>
  </w:num>
  <w:num w:numId="19">
    <w:abstractNumId w:val="22"/>
  </w:num>
  <w:num w:numId="20">
    <w:abstractNumId w:val="0"/>
  </w:num>
  <w:num w:numId="21">
    <w:abstractNumId w:val="21"/>
  </w:num>
  <w:num w:numId="22">
    <w:abstractNumId w:val="18"/>
  </w:num>
  <w:num w:numId="23">
    <w:abstractNumId w:val="3"/>
  </w:num>
  <w:num w:numId="24">
    <w:abstractNumId w:val="17"/>
  </w:num>
  <w:num w:numId="25">
    <w:abstractNumId w:val="15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06B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1724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2B0B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049D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36C25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4607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27786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71AE9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3BAC"/>
    <w:rsid w:val="00F9580B"/>
    <w:rsid w:val="00FA02BE"/>
    <w:rsid w:val="00FB219E"/>
    <w:rsid w:val="00FB49CB"/>
    <w:rsid w:val="00FC27F5"/>
    <w:rsid w:val="00FC57AE"/>
    <w:rsid w:val="00FD5B10"/>
    <w:rsid w:val="00FE0F1A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312FA8"/>
  <w15:docId w15:val="{D6D21CCF-8DA6-4F05-A365-5860AD71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7EFB-8E39-4151-B165-DD741235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10037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ACER</cp:lastModifiedBy>
  <cp:revision>5</cp:revision>
  <cp:lastPrinted>2013-12-10T07:28:00Z</cp:lastPrinted>
  <dcterms:created xsi:type="dcterms:W3CDTF">2022-02-14T11:44:00Z</dcterms:created>
  <dcterms:modified xsi:type="dcterms:W3CDTF">2022-04-28T11:09:00Z</dcterms:modified>
</cp:coreProperties>
</file>