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32" w:rsidRPr="00BE0A32" w:rsidRDefault="00BE0A32" w:rsidP="00BE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Чеченская Республика</w:t>
      </w:r>
    </w:p>
    <w:p w:rsidR="00BE0A32" w:rsidRPr="00BE0A32" w:rsidRDefault="00BE0A32" w:rsidP="00BE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  <w:proofErr w:type="spellStart"/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Ачхой-Мартановского</w:t>
      </w:r>
      <w:proofErr w:type="spellEnd"/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муниципального района</w:t>
      </w:r>
    </w:p>
    <w:p w:rsidR="00BE0A32" w:rsidRPr="00BE0A32" w:rsidRDefault="00BE0A32" w:rsidP="00BE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BE0A32" w:rsidRPr="00BE0A32" w:rsidRDefault="00BE0A32" w:rsidP="00BE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«Основная общеобразовательная школа с. Новый-</w:t>
      </w:r>
      <w:proofErr w:type="spellStart"/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Шарой</w:t>
      </w:r>
      <w:proofErr w:type="spellEnd"/>
      <w:r w:rsidRPr="00BE0A32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BE0A32" w:rsidRPr="00BE0A32" w:rsidRDefault="00BE0A32" w:rsidP="00BE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  <w:lang w:eastAsia="en-US"/>
        </w:rPr>
      </w:pPr>
    </w:p>
    <w:p w:rsidR="00BE0A32" w:rsidRPr="00BE0A32" w:rsidRDefault="00BE0A32" w:rsidP="00BE0A3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144"/>
          <w:szCs w:val="16"/>
          <w:lang w:eastAsia="en-US"/>
        </w:rPr>
      </w:pPr>
      <w:r w:rsidRPr="00BE0A32">
        <w:rPr>
          <w:rFonts w:ascii="Times New Roman" w:eastAsia="Calibri" w:hAnsi="Times New Roman" w:cs="Times New Roman"/>
          <w:b/>
          <w:sz w:val="144"/>
          <w:szCs w:val="16"/>
          <w:lang w:eastAsia="en-US"/>
        </w:rPr>
        <w:t>План</w:t>
      </w:r>
    </w:p>
    <w:p w:rsidR="00BE0A32" w:rsidRPr="00BE0A32" w:rsidRDefault="00BE0A32" w:rsidP="00BE0A32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</w:t>
      </w:r>
      <w:proofErr w:type="gramStart"/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работы</w:t>
      </w:r>
      <w:proofErr w:type="gramEnd"/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со слабомотивированными учащимися </w:t>
      </w:r>
    </w:p>
    <w:p w:rsidR="00BE0A32" w:rsidRPr="00BE0A32" w:rsidRDefault="00BE0A32" w:rsidP="00BE0A32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proofErr w:type="gramStart"/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по</w:t>
      </w:r>
      <w:proofErr w:type="gramEnd"/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физике </w:t>
      </w:r>
    </w:p>
    <w:p w:rsidR="00BE0A32" w:rsidRPr="00BE0A32" w:rsidRDefault="00BE0A32" w:rsidP="00BE0A32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  <w:lang w:eastAsia="en-US"/>
        </w:rPr>
      </w:pPr>
      <w:proofErr w:type="gramStart"/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>на</w:t>
      </w:r>
      <w:proofErr w:type="gramEnd"/>
      <w:r w:rsidR="00562D50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2020 – 2021</w:t>
      </w:r>
      <w:r w:rsidRPr="00BE0A32">
        <w:rPr>
          <w:rFonts w:ascii="Times New Roman" w:eastAsia="Calibri" w:hAnsi="Times New Roman" w:cs="Times New Roman"/>
          <w:b/>
          <w:sz w:val="40"/>
          <w:szCs w:val="16"/>
          <w:lang w:eastAsia="en-US"/>
        </w:rPr>
        <w:t xml:space="preserve"> учебный год.</w:t>
      </w: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rPr>
          <w:rFonts w:ascii="Calibri" w:eastAsia="Calibri" w:hAnsi="Calibri" w:cs="Times New Roman"/>
          <w:lang w:eastAsia="en-US"/>
        </w:rPr>
      </w:pPr>
    </w:p>
    <w:p w:rsidR="00BE0A32" w:rsidRPr="00BE0A32" w:rsidRDefault="00BE0A32" w:rsidP="00BE0A32">
      <w:pPr>
        <w:tabs>
          <w:tab w:val="left" w:pos="7230"/>
        </w:tabs>
        <w:jc w:val="right"/>
        <w:rPr>
          <w:rFonts w:ascii="Calibri" w:eastAsia="Calibri" w:hAnsi="Calibri" w:cs="Times New Roman"/>
          <w:lang w:eastAsia="en-US"/>
        </w:rPr>
      </w:pPr>
      <w:r w:rsidRPr="00BE0A32">
        <w:rPr>
          <w:rFonts w:ascii="Calibri" w:eastAsia="Calibri" w:hAnsi="Calibri" w:cs="Times New Roman"/>
          <w:lang w:eastAsia="en-US"/>
        </w:rPr>
        <w:tab/>
      </w:r>
    </w:p>
    <w:p w:rsidR="00BE0A32" w:rsidRPr="00BE0A32" w:rsidRDefault="00BE0A32" w:rsidP="00BE0A32">
      <w:pPr>
        <w:tabs>
          <w:tab w:val="left" w:pos="7230"/>
        </w:tabs>
        <w:jc w:val="right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E0A32">
        <w:rPr>
          <w:rFonts w:ascii="Times New Roman" w:eastAsia="Calibri" w:hAnsi="Times New Roman" w:cs="Times New Roman"/>
          <w:b/>
          <w:sz w:val="28"/>
          <w:lang w:eastAsia="en-US"/>
        </w:rPr>
        <w:t>Учитель физики: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proofErr w:type="spellStart"/>
      <w:r w:rsidRPr="00BE0A32">
        <w:rPr>
          <w:rFonts w:ascii="Times New Roman" w:eastAsia="Calibri" w:hAnsi="Times New Roman" w:cs="Times New Roman"/>
          <w:b/>
          <w:sz w:val="28"/>
          <w:lang w:eastAsia="en-US"/>
        </w:rPr>
        <w:t>Баташева</w:t>
      </w:r>
      <w:proofErr w:type="spellEnd"/>
      <w:r w:rsidRPr="00BE0A32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Pr="00BE0A32">
        <w:rPr>
          <w:rFonts w:ascii="Times New Roman" w:eastAsia="Calibri" w:hAnsi="Times New Roman" w:cs="Times New Roman"/>
          <w:b/>
          <w:sz w:val="28"/>
          <w:lang w:eastAsia="en-US"/>
        </w:rPr>
        <w:t>Р.С.</w:t>
      </w:r>
    </w:p>
    <w:p w:rsidR="00B532C5" w:rsidRPr="0011065F" w:rsidRDefault="0011065F" w:rsidP="001106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</w:p>
    <w:p w:rsidR="006E0930" w:rsidRPr="00E8500C" w:rsidRDefault="006E0930" w:rsidP="00E850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50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E8500C" w:rsidRPr="00E850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E850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8500C" w:rsidRPr="00E85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Введение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      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Главный смысл деятельности учителя естественно-математического цикла состоит в том,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чтобы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создать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каждому ученику ситуацию успеха. Успех в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учении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единственный источник внутренних сил ребенка, рождающий энергию для преодоления трудностей при изучении такого трудного предмета, как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физика.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помочь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слабоуспевающему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ученику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подготовить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посильное задание, с которым он должен выступить перед классом.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Ученик может отставать в обучении по разным зависящим и независящим от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него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причинам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пропуски занятий по болезни;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слабое общее физическое развитие, наличие хронических заболеваний;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задержка психического развития.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Часто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диагнозом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обучаются в общеобразовательных классах в связи с отсутствием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классов коррекционных или нежеланием родителей перевести ребенка в специализированный класс или школу;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педагогическая запущенность: отсутствие у ребенка наработанных </w:t>
      </w:r>
      <w:proofErr w:type="spellStart"/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общеучебных</w:t>
      </w:r>
      <w:proofErr w:type="spell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умений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неблагополучная семья;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проблема «улицы»;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прогулы и т.д.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Мы, учителя предметники, должны знать, почему ученик не усваивает учебную программу, как ему можно помочь в этом деле. Установить конкретно причины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неуспеваемости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учителю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классному руководителю должны помочь школьные узкие специалисты (врач, психолог, логопед, социальный педагог),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родители ученика, он сам и его одноклассники.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Цели: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-ликвидация пробелов у учащихся в обучении физики;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-создание условий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успешного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индивидуального развития ученика.</w:t>
      </w:r>
    </w:p>
    <w:p w:rsidR="00B532C5" w:rsidRPr="00E8500C" w:rsidRDefault="00B532C5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gramStart"/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Что</w:t>
      </w: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прежде</w:t>
      </w:r>
      <w:proofErr w:type="gramEnd"/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всего нужно сделать в работе со слабоуспевающими?</w:t>
      </w:r>
    </w:p>
    <w:p w:rsidR="00B532C5" w:rsidRPr="00E8500C" w:rsidRDefault="00B532C5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создать благоприятную атмосферу на уроке;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своевременно оказывать помощь на дополнительных занятиях и организовать работу консультантов;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изменить формы и методы учебной работы на уроках физики, чтобы преодолеть пассивность обучающихся и превратить их в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активный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субъект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деятельности. Использовать для этого обучающие игры;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освободить школьников от страха перед ошибками, создавая ситуацию свободного выбора и успеха;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>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ориентировать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ценности: человек, семья,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отечество, труд, знания, культура,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мир,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которые охватывают важнейшие стороны деятельности;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культивировать физическое развитие и здоровый образ жизни.</w:t>
      </w:r>
    </w:p>
    <w:p w:rsidR="00B532C5" w:rsidRPr="00E8500C" w:rsidRDefault="00B532C5" w:rsidP="00E8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8500C" w:rsidRPr="00E8500C" w:rsidRDefault="00E8500C" w:rsidP="00E85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Слабоуспевающими принято считать учащихся, которые имеют слабые умственные способности и слабые учебные умения и навыки. Чтобы данная категория учащихся не перешла в разряд неуспевающих, необходима систематизированная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с особенностями личности каждого ребенка затруднения в обучении, связанные: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 состоянием здоровья: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занятия спортом;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gramStart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какими либо</w:t>
      </w:r>
      <w:proofErr w:type="gramEnd"/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видами художественного творчества;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неблагоприятной обстановкой в семье.</w:t>
      </w:r>
    </w:p>
    <w:p w:rsidR="006E0930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B532C5" w:rsidRPr="00E8500C" w:rsidRDefault="00B532C5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532C5" w:rsidRPr="00E8500C" w:rsidRDefault="006E0930" w:rsidP="00E8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Прогнозируемый </w:t>
      </w:r>
      <w:proofErr w:type="gramStart"/>
      <w:r w:rsidRPr="00E8500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результат :</w:t>
      </w:r>
      <w:proofErr w:type="gramEnd"/>
    </w:p>
    <w:p w:rsidR="0044146F" w:rsidRPr="00E8500C" w:rsidRDefault="0044146F" w:rsidP="00E850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00C">
        <w:rPr>
          <w:rFonts w:ascii="Times New Roman" w:hAnsi="Times New Roman" w:cs="Times New Roman"/>
          <w:bCs/>
          <w:iCs/>
          <w:sz w:val="28"/>
          <w:szCs w:val="28"/>
        </w:rPr>
        <w:t>Понимать и знать</w:t>
      </w:r>
    </w:p>
    <w:p w:rsidR="00DE67B9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DE67B9" w:rsidRPr="00E8500C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E8500C">
        <w:rPr>
          <w:rFonts w:ascii="Times New Roman" w:hAnsi="Times New Roman" w:cs="Times New Roman"/>
          <w:sz w:val="28"/>
          <w:szCs w:val="28"/>
        </w:rPr>
        <w:t>понятий</w:t>
      </w:r>
      <w:r w:rsidR="00DE67B9" w:rsidRPr="00E8500C">
        <w:rPr>
          <w:rFonts w:ascii="Times New Roman" w:hAnsi="Times New Roman" w:cs="Times New Roman"/>
          <w:sz w:val="28"/>
          <w:szCs w:val="28"/>
        </w:rPr>
        <w:t>;</w:t>
      </w:r>
    </w:p>
    <w:p w:rsidR="00DE67B9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 xml:space="preserve"> смысл физических величин</w:t>
      </w:r>
      <w:r w:rsidR="00DE67B9" w:rsidRPr="00E8500C">
        <w:rPr>
          <w:rFonts w:ascii="Times New Roman" w:hAnsi="Times New Roman" w:cs="Times New Roman"/>
          <w:sz w:val="28"/>
          <w:szCs w:val="28"/>
        </w:rPr>
        <w:t>;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смысл физических законов;</w:t>
      </w:r>
    </w:p>
    <w:p w:rsidR="0044146F" w:rsidRPr="00E8500C" w:rsidRDefault="0044146F" w:rsidP="00E8500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уметь:</w:t>
      </w:r>
    </w:p>
    <w:p w:rsidR="00DE67B9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</w:t>
      </w:r>
      <w:r w:rsidR="00DE67B9" w:rsidRPr="00E8500C">
        <w:rPr>
          <w:rFonts w:ascii="Times New Roman" w:hAnsi="Times New Roman" w:cs="Times New Roman"/>
          <w:sz w:val="28"/>
          <w:szCs w:val="28"/>
        </w:rPr>
        <w:t>;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величин; 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зависимости;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решать задачи на применение изученных физических законов</w:t>
      </w:r>
      <w:r w:rsidR="00DE67B9" w:rsidRPr="00E8500C">
        <w:rPr>
          <w:rFonts w:ascii="Times New Roman" w:hAnsi="Times New Roman" w:cs="Times New Roman"/>
          <w:sz w:val="28"/>
          <w:szCs w:val="28"/>
        </w:rPr>
        <w:t xml:space="preserve"> с помощью алгоритмов</w:t>
      </w:r>
      <w:r w:rsidRPr="00E8500C">
        <w:rPr>
          <w:rFonts w:ascii="Times New Roman" w:hAnsi="Times New Roman" w:cs="Times New Roman"/>
          <w:sz w:val="28"/>
          <w:szCs w:val="28"/>
        </w:rPr>
        <w:t>;</w:t>
      </w:r>
    </w:p>
    <w:p w:rsidR="0044146F" w:rsidRPr="00E8500C" w:rsidRDefault="0044146F" w:rsidP="00E85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осуществлять самостоятельный поиск информации;</w:t>
      </w:r>
    </w:p>
    <w:p w:rsidR="0044146F" w:rsidRPr="00E8500C" w:rsidRDefault="0044146F" w:rsidP="00E8500C">
      <w:pPr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C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11065F" w:rsidRDefault="0011065F" w:rsidP="0011065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простых механизмов</w:t>
      </w:r>
    </w:p>
    <w:p w:rsidR="006E0930" w:rsidRPr="0011065F" w:rsidRDefault="0011065F" w:rsidP="0011065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6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65F">
        <w:rPr>
          <w:rFonts w:ascii="Times New Roman" w:hAnsi="Times New Roman" w:cs="Times New Roman"/>
          <w:sz w:val="28"/>
          <w:szCs w:val="28"/>
        </w:rPr>
        <w:t xml:space="preserve"> </w:t>
      </w:r>
      <w:r w:rsidR="006E0930" w:rsidRPr="0011065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6E0930" w:rsidRPr="001106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План</w:t>
      </w:r>
    </w:p>
    <w:p w:rsidR="006E0930" w:rsidRPr="0011065F" w:rsidRDefault="0011065F" w:rsidP="0011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</w:t>
      </w:r>
      <w:r w:rsidR="006E0930" w:rsidRPr="001106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работы со слабоуспевающими учащимися</w:t>
      </w:r>
    </w:p>
    <w:p w:rsidR="006E0930" w:rsidRPr="0011065F" w:rsidRDefault="0011065F" w:rsidP="0011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</w:t>
      </w:r>
      <w:proofErr w:type="gramStart"/>
      <w:r w:rsidR="00562D5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</w:t>
      </w:r>
      <w:proofErr w:type="gramEnd"/>
      <w:r w:rsidR="00562D5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2020 – 2021 </w:t>
      </w:r>
      <w:bookmarkStart w:id="0" w:name="_GoBack"/>
      <w:bookmarkEnd w:id="0"/>
      <w:r w:rsidR="006E0930" w:rsidRPr="001106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учебный год</w:t>
      </w:r>
      <w:r w:rsidR="006E0930" w:rsidRPr="0011065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 отставания</w:t>
            </w: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слабоуспевающих учащихся через беседы со школьными специалистами: классным руководителем,</w:t>
            </w: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="00E8500C"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психологом, 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дифференцированный подход при организации самостоятельной работы на уроке, включать посильные </w:t>
            </w:r>
            <w:proofErr w:type="spellStart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65F" w:rsidRPr="001106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proofErr w:type="spellEnd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слабоуспевающему ученику, фиксировать это в плане урока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Вести обязательный тематический учет знаний слабоуспевающих </w:t>
            </w:r>
            <w:proofErr w:type="gramStart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, по возможности</w:t>
            </w: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вести тематический учет знаний по предмету детей всего класса.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E0930" w:rsidRPr="0011065F" w:rsidTr="00E8500C">
        <w:tc>
          <w:tcPr>
            <w:tcW w:w="1101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065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5953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gramStart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11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индивидуальные) занятия для слабоуспевающих.</w:t>
            </w:r>
          </w:p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2517" w:type="dxa"/>
          </w:tcPr>
          <w:p w:rsidR="006E0930" w:rsidRPr="0011065F" w:rsidRDefault="006E0930" w:rsidP="00DE67B9">
            <w:pPr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6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6E0930" w:rsidRPr="0011065F" w:rsidRDefault="006E0930" w:rsidP="00E8500C">
      <w:pPr>
        <w:rPr>
          <w:sz w:val="24"/>
          <w:szCs w:val="24"/>
        </w:rPr>
      </w:pPr>
    </w:p>
    <w:sectPr w:rsidR="006E0930" w:rsidRPr="0011065F" w:rsidSect="0011065F">
      <w:footerReference w:type="default" r:id="rId7"/>
      <w:pgSz w:w="11906" w:h="16838"/>
      <w:pgMar w:top="1134" w:right="851" w:bottom="1134" w:left="851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09" w:rsidRDefault="006E0809" w:rsidP="00B532C5">
      <w:pPr>
        <w:spacing w:after="0" w:line="240" w:lineRule="auto"/>
      </w:pPr>
      <w:r>
        <w:separator/>
      </w:r>
    </w:p>
  </w:endnote>
  <w:endnote w:type="continuationSeparator" w:id="0">
    <w:p w:rsidR="006E0809" w:rsidRDefault="006E0809" w:rsidP="00B5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C5" w:rsidRPr="00E8500C" w:rsidRDefault="00B532C5" w:rsidP="00E8500C">
    <w:pPr>
      <w:pStyle w:val="a7"/>
      <w:rPr>
        <w:rFonts w:ascii="Times New Roman" w:hAnsi="Times New Roman" w:cs="Times New Roman"/>
        <w:sz w:val="18"/>
        <w:szCs w:val="18"/>
      </w:rPr>
    </w:pPr>
  </w:p>
  <w:p w:rsidR="00B532C5" w:rsidRDefault="00B532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09" w:rsidRDefault="006E0809" w:rsidP="00B532C5">
      <w:pPr>
        <w:spacing w:after="0" w:line="240" w:lineRule="auto"/>
      </w:pPr>
      <w:r>
        <w:separator/>
      </w:r>
    </w:p>
  </w:footnote>
  <w:footnote w:type="continuationSeparator" w:id="0">
    <w:p w:rsidR="006E0809" w:rsidRDefault="006E0809" w:rsidP="00B5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79B"/>
    <w:multiLevelType w:val="hybridMultilevel"/>
    <w:tmpl w:val="E10E9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30"/>
    <w:rsid w:val="0011065F"/>
    <w:rsid w:val="002E0110"/>
    <w:rsid w:val="0044146F"/>
    <w:rsid w:val="00562D50"/>
    <w:rsid w:val="006E0809"/>
    <w:rsid w:val="006E0930"/>
    <w:rsid w:val="007B6AB3"/>
    <w:rsid w:val="008A5237"/>
    <w:rsid w:val="00AC53C1"/>
    <w:rsid w:val="00B532C5"/>
    <w:rsid w:val="00BE0A32"/>
    <w:rsid w:val="00DE67B9"/>
    <w:rsid w:val="00E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B9EE4-D77B-4C31-8209-8E2F7A40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9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2C5"/>
  </w:style>
  <w:style w:type="paragraph" w:styleId="a7">
    <w:name w:val="footer"/>
    <w:basedOn w:val="a"/>
    <w:link w:val="a8"/>
    <w:uiPriority w:val="99"/>
    <w:unhideWhenUsed/>
    <w:rsid w:val="00B5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2C5"/>
  </w:style>
  <w:style w:type="paragraph" w:styleId="a9">
    <w:name w:val="Balloon Text"/>
    <w:basedOn w:val="a"/>
    <w:link w:val="aa"/>
    <w:uiPriority w:val="99"/>
    <w:semiHidden/>
    <w:unhideWhenUsed/>
    <w:rsid w:val="00B5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2019-10-16T08:01:00Z</cp:lastPrinted>
  <dcterms:created xsi:type="dcterms:W3CDTF">2019-10-16T13:01:00Z</dcterms:created>
  <dcterms:modified xsi:type="dcterms:W3CDTF">2020-12-09T13:37:00Z</dcterms:modified>
</cp:coreProperties>
</file>